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F920A7" w:rsidP="00D94728">
      <w:pPr>
        <w:ind w:left="720" w:right="720"/>
        <w:jc w:val="center"/>
        <w:rPr>
          <w:b/>
          <w:sz w:val="24"/>
          <w:szCs w:val="24"/>
        </w:rPr>
      </w:pPr>
      <w:r>
        <w:rPr>
          <w:b/>
          <w:sz w:val="24"/>
          <w:szCs w:val="24"/>
        </w:rPr>
        <w:t>February 21</w:t>
      </w:r>
      <w:r w:rsidR="00160102">
        <w:rPr>
          <w:b/>
          <w:sz w:val="24"/>
          <w:szCs w:val="24"/>
        </w:rPr>
        <w:t>, 2022</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286403" w:rsidRPr="0059304A" w:rsidRDefault="00F91238" w:rsidP="00996ECA">
      <w:pPr>
        <w:shd w:val="clear" w:color="auto" w:fill="FFFFFF"/>
        <w:ind w:left="288" w:right="288"/>
        <w:jc w:val="center"/>
        <w:rPr>
          <w:b/>
          <w:sz w:val="24"/>
          <w:szCs w:val="24"/>
        </w:rPr>
      </w:pPr>
      <w:r w:rsidRPr="0059304A">
        <w:rPr>
          <w:b/>
          <w:sz w:val="24"/>
          <w:szCs w:val="24"/>
        </w:rPr>
        <w:t>Note: Those who had Covid-19 concerns preventing them from attending in person were allowed</w:t>
      </w:r>
    </w:p>
    <w:p w:rsidR="00F91238" w:rsidRPr="0059304A" w:rsidRDefault="00F91238" w:rsidP="00996ECA">
      <w:pPr>
        <w:shd w:val="clear" w:color="auto" w:fill="FFFFFF"/>
        <w:ind w:left="288" w:right="288"/>
        <w:jc w:val="center"/>
        <w:rPr>
          <w:b/>
          <w:sz w:val="24"/>
          <w:szCs w:val="24"/>
        </w:rPr>
      </w:pPr>
      <w:r w:rsidRPr="0059304A">
        <w:rPr>
          <w:b/>
          <w:sz w:val="24"/>
          <w:szCs w:val="24"/>
        </w:rPr>
        <w:t>to participate by</w:t>
      </w:r>
      <w:r w:rsidR="00286403" w:rsidRPr="0059304A">
        <w:rPr>
          <w:b/>
          <w:sz w:val="24"/>
          <w:szCs w:val="24"/>
        </w:rPr>
        <w:t xml:space="preserve"> </w:t>
      </w:r>
      <w:r w:rsidRPr="0059304A">
        <w:rPr>
          <w:b/>
          <w:sz w:val="24"/>
          <w:szCs w:val="24"/>
        </w:rPr>
        <w:t xml:space="preserve">Zoom Conference Call without loss of </w:t>
      </w:r>
      <w:r w:rsidR="00286403" w:rsidRPr="0059304A">
        <w:rPr>
          <w:b/>
          <w:sz w:val="24"/>
          <w:szCs w:val="24"/>
        </w:rPr>
        <w:t>voting</w:t>
      </w:r>
      <w:r w:rsidRPr="0059304A">
        <w:rPr>
          <w:b/>
          <w:sz w:val="24"/>
          <w:szCs w:val="24"/>
        </w:rPr>
        <w:t xml:space="preserve"> privileges.</w:t>
      </w:r>
    </w:p>
    <w:p w:rsidR="00B55AB0" w:rsidRDefault="00B55AB0" w:rsidP="00F8370F">
      <w:pPr>
        <w:ind w:left="720" w:right="720"/>
        <w:rPr>
          <w:sz w:val="24"/>
          <w:szCs w:val="24"/>
          <w:u w:val="single"/>
        </w:rPr>
      </w:pPr>
    </w:p>
    <w:p w:rsidR="003468EF" w:rsidRDefault="003468EF" w:rsidP="00F8370F">
      <w:pPr>
        <w:ind w:left="720" w:right="720"/>
        <w:rPr>
          <w:sz w:val="24"/>
          <w:szCs w:val="24"/>
          <w:u w:val="single"/>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580C4C">
        <w:rPr>
          <w:sz w:val="24"/>
          <w:szCs w:val="24"/>
        </w:rPr>
        <w:t>0</w:t>
      </w:r>
      <w:r w:rsidR="00C3662A" w:rsidRPr="0059304A">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621499">
        <w:rPr>
          <w:sz w:val="24"/>
          <w:szCs w:val="24"/>
        </w:rPr>
        <w:t xml:space="preserve">George Sewell, </w:t>
      </w:r>
      <w:r w:rsidR="008F4202">
        <w:rPr>
          <w:sz w:val="24"/>
          <w:szCs w:val="24"/>
        </w:rPr>
        <w:t xml:space="preserve">David Hoey, </w:t>
      </w:r>
      <w:r w:rsidR="00580C4C">
        <w:rPr>
          <w:sz w:val="24"/>
          <w:szCs w:val="24"/>
        </w:rPr>
        <w:t>Kristi</w:t>
      </w:r>
      <w:r w:rsidR="00982EEE">
        <w:rPr>
          <w:sz w:val="24"/>
          <w:szCs w:val="24"/>
        </w:rPr>
        <w:t>e</w:t>
      </w:r>
      <w:r w:rsidR="00580C4C">
        <w:rPr>
          <w:sz w:val="24"/>
          <w:szCs w:val="24"/>
        </w:rPr>
        <w:t xml:space="preserve"> Copeland, </w:t>
      </w:r>
      <w:r w:rsidR="00F920A7">
        <w:rPr>
          <w:sz w:val="24"/>
          <w:szCs w:val="24"/>
        </w:rPr>
        <w:t xml:space="preserve">Gary Conlay, Carolyn Carter and </w:t>
      </w:r>
      <w:r w:rsidR="00621499">
        <w:rPr>
          <w:sz w:val="24"/>
          <w:szCs w:val="24"/>
        </w:rPr>
        <w:t>Matthew Linn</w:t>
      </w:r>
      <w:r w:rsidR="00FE4E1B" w:rsidRPr="0059304A">
        <w:rPr>
          <w:sz w:val="24"/>
          <w:szCs w:val="24"/>
        </w:rPr>
        <w:t xml:space="preserve"> </w:t>
      </w:r>
      <w:r w:rsidR="00A3281E" w:rsidRPr="0059304A">
        <w:rPr>
          <w:sz w:val="24"/>
          <w:szCs w:val="24"/>
        </w:rPr>
        <w:t>were present.</w:t>
      </w:r>
      <w:r w:rsidR="0059383F">
        <w:rPr>
          <w:sz w:val="24"/>
          <w:szCs w:val="24"/>
        </w:rPr>
        <w:t xml:space="preserve">  </w:t>
      </w:r>
      <w:r w:rsidR="00F920A7">
        <w:rPr>
          <w:sz w:val="24"/>
          <w:szCs w:val="24"/>
        </w:rPr>
        <w:t xml:space="preserve">Tray Murray and </w:t>
      </w:r>
      <w:r w:rsidR="00BC7BA4">
        <w:rPr>
          <w:sz w:val="24"/>
          <w:szCs w:val="24"/>
        </w:rPr>
        <w:t xml:space="preserve">Mary Brocato were </w:t>
      </w:r>
      <w:r w:rsidR="0059383F">
        <w:rPr>
          <w:sz w:val="24"/>
          <w:szCs w:val="24"/>
        </w:rPr>
        <w:t>Excused.</w:t>
      </w:r>
      <w:r w:rsidR="00FF1C95" w:rsidRPr="0059304A">
        <w:rPr>
          <w:sz w:val="24"/>
          <w:szCs w:val="24"/>
        </w:rPr>
        <w:t xml:space="preserve">  </w:t>
      </w:r>
      <w:r w:rsidRPr="0059304A">
        <w:rPr>
          <w:sz w:val="24"/>
          <w:szCs w:val="24"/>
        </w:rPr>
        <w:t>Bienville</w:t>
      </w:r>
      <w:r w:rsidR="006D7C1F" w:rsidRPr="0059304A">
        <w:rPr>
          <w:sz w:val="24"/>
          <w:szCs w:val="24"/>
        </w:rPr>
        <w:t>,</w:t>
      </w:r>
      <w:r w:rsidR="003F4E64" w:rsidRPr="0059304A">
        <w:rPr>
          <w:sz w:val="24"/>
          <w:szCs w:val="24"/>
        </w:rPr>
        <w:t xml:space="preserve"> </w:t>
      </w:r>
      <w:r w:rsidR="00313956">
        <w:rPr>
          <w:sz w:val="24"/>
          <w:szCs w:val="24"/>
        </w:rPr>
        <w:t xml:space="preserve">DeSoto, </w:t>
      </w:r>
      <w:r w:rsidRPr="0059304A">
        <w:rPr>
          <w:sz w:val="24"/>
          <w:szCs w:val="24"/>
        </w:rPr>
        <w:t>Governor Appointee</w:t>
      </w:r>
      <w:r w:rsidR="00D94728" w:rsidRPr="0059304A">
        <w:rPr>
          <w:sz w:val="24"/>
          <w:szCs w:val="24"/>
        </w:rPr>
        <w:t xml:space="preserve"> #2</w:t>
      </w:r>
      <w:r w:rsidRPr="0059304A">
        <w:rPr>
          <w:sz w:val="24"/>
          <w:szCs w:val="24"/>
        </w:rPr>
        <w:t xml:space="preserve"> </w:t>
      </w:r>
      <w:r w:rsidR="006D7C1F" w:rsidRPr="0059304A">
        <w:rPr>
          <w:sz w:val="24"/>
          <w:szCs w:val="24"/>
        </w:rPr>
        <w:t xml:space="preserve">and Governor Appointee #3 </w:t>
      </w:r>
      <w:r w:rsidRPr="0059304A">
        <w:rPr>
          <w:sz w:val="24"/>
          <w:szCs w:val="24"/>
        </w:rPr>
        <w:t xml:space="preserve">have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F920A7">
        <w:rPr>
          <w:sz w:val="24"/>
          <w:szCs w:val="24"/>
        </w:rPr>
        <w:t>6</w:t>
      </w:r>
      <w:r w:rsidR="00301B67" w:rsidRPr="0059304A">
        <w:rPr>
          <w:sz w:val="24"/>
          <w:szCs w:val="24"/>
        </w:rPr>
        <w:t xml:space="preserve"> out of </w:t>
      </w:r>
      <w:r w:rsidR="00BC7BA4">
        <w:rPr>
          <w:sz w:val="24"/>
          <w:szCs w:val="24"/>
        </w:rPr>
        <w:t>8</w:t>
      </w:r>
      <w:r w:rsidR="00301B67" w:rsidRPr="0059304A">
        <w:rPr>
          <w:sz w:val="24"/>
          <w:szCs w:val="24"/>
        </w:rPr>
        <w:t xml:space="preserve"> board members confirmed by </w:t>
      </w:r>
      <w:r w:rsidR="00621499">
        <w:rPr>
          <w:sz w:val="24"/>
          <w:szCs w:val="24"/>
        </w:rPr>
        <w:t>Kristi</w:t>
      </w:r>
      <w:r w:rsidR="00982EEE">
        <w:rPr>
          <w:sz w:val="24"/>
          <w:szCs w:val="24"/>
        </w:rPr>
        <w:t>e</w:t>
      </w:r>
      <w:r w:rsidR="00621499">
        <w:rPr>
          <w:sz w:val="24"/>
          <w:szCs w:val="24"/>
        </w:rPr>
        <w:t xml:space="preserve"> Copeland, </w:t>
      </w:r>
      <w:r w:rsidR="0098084D">
        <w:rPr>
          <w:sz w:val="24"/>
          <w:szCs w:val="24"/>
        </w:rPr>
        <w:t xml:space="preserve">Board </w:t>
      </w:r>
      <w:r w:rsidR="00621499">
        <w:rPr>
          <w:sz w:val="24"/>
          <w:szCs w:val="24"/>
        </w:rPr>
        <w:t>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Pr="0059304A">
        <w:rPr>
          <w:sz w:val="24"/>
          <w:szCs w:val="24"/>
        </w:rPr>
        <w:t xml:space="preserve">: </w:t>
      </w:r>
      <w:r w:rsidR="00F920A7">
        <w:rPr>
          <w:sz w:val="24"/>
          <w:szCs w:val="24"/>
        </w:rPr>
        <w:t>Katlyn Stewart, Community Outreach and Communication Coordinator for LACG was welcomed</w:t>
      </w:r>
      <w:r w:rsidR="0098084D">
        <w:rPr>
          <w:sz w:val="24"/>
          <w:szCs w:val="24"/>
        </w:rPr>
        <w:t>.</w:t>
      </w:r>
    </w:p>
    <w:p w:rsidR="007A4198" w:rsidRDefault="007A4198"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612A46">
        <w:rPr>
          <w:sz w:val="24"/>
          <w:szCs w:val="24"/>
        </w:rPr>
        <w:t>George S</w:t>
      </w:r>
      <w:r w:rsidR="00C1649C">
        <w:rPr>
          <w:sz w:val="24"/>
          <w:szCs w:val="24"/>
        </w:rPr>
        <w:t>e</w:t>
      </w:r>
      <w:r w:rsidR="00612A46">
        <w:rPr>
          <w:sz w:val="24"/>
          <w:szCs w:val="24"/>
        </w:rPr>
        <w:t>well</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F920A7">
        <w:rPr>
          <w:sz w:val="24"/>
          <w:szCs w:val="24"/>
        </w:rPr>
        <w:t>David Hoey</w:t>
      </w:r>
      <w:r w:rsidR="00BC7BA4">
        <w:rPr>
          <w:sz w:val="24"/>
          <w:szCs w:val="24"/>
        </w:rPr>
        <w:t xml:space="preserve">, </w:t>
      </w:r>
      <w:r w:rsidR="00CE4E0D" w:rsidRPr="0059304A">
        <w:rPr>
          <w:sz w:val="24"/>
          <w:szCs w:val="24"/>
        </w:rPr>
        <w:t xml:space="preserve">and </w:t>
      </w:r>
      <w:r w:rsidR="0084655D" w:rsidRPr="0059304A">
        <w:rPr>
          <w:sz w:val="24"/>
          <w:szCs w:val="24"/>
        </w:rPr>
        <w:t>unanimously app</w:t>
      </w:r>
      <w:bookmarkStart w:id="0" w:name="_GoBack"/>
      <w:bookmarkEnd w:id="0"/>
      <w:r w:rsidR="0084655D" w:rsidRPr="0059304A">
        <w:rPr>
          <w:sz w:val="24"/>
          <w:szCs w:val="24"/>
        </w:rPr>
        <w:t>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 xml:space="preserve">Approval of the Minutes for </w:t>
      </w:r>
      <w:r w:rsidR="00F920A7">
        <w:rPr>
          <w:sz w:val="24"/>
          <w:szCs w:val="24"/>
          <w:u w:val="single"/>
        </w:rPr>
        <w:t>January 18</w:t>
      </w:r>
      <w:r w:rsidR="00371CC0">
        <w:rPr>
          <w:sz w:val="24"/>
          <w:szCs w:val="24"/>
          <w:u w:val="single"/>
        </w:rPr>
        <w:t>, 2021</w:t>
      </w:r>
      <w:r w:rsidRPr="0059304A">
        <w:rPr>
          <w:sz w:val="24"/>
          <w:szCs w:val="24"/>
        </w:rPr>
        <w:t>: Moved b</w:t>
      </w:r>
      <w:r w:rsidR="00B91615" w:rsidRPr="0059304A">
        <w:rPr>
          <w:sz w:val="24"/>
          <w:szCs w:val="24"/>
        </w:rPr>
        <w:t>y</w:t>
      </w:r>
      <w:r w:rsidR="00C3662A" w:rsidRPr="0059304A">
        <w:rPr>
          <w:sz w:val="24"/>
          <w:szCs w:val="24"/>
        </w:rPr>
        <w:t xml:space="preserve"> </w:t>
      </w:r>
      <w:r w:rsidR="00F920A7">
        <w:rPr>
          <w:sz w:val="24"/>
          <w:szCs w:val="24"/>
        </w:rPr>
        <w:t>David Hoey</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F920A7">
        <w:rPr>
          <w:sz w:val="24"/>
          <w:szCs w:val="24"/>
        </w:rPr>
        <w:t>George Sewell</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98084D">
        <w:rPr>
          <w:sz w:val="24"/>
          <w:szCs w:val="24"/>
        </w:rPr>
        <w:t>None.</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59304A">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0B067F" w:rsidRPr="0059304A">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0B067F" w:rsidRPr="0059304A">
        <w:rPr>
          <w:sz w:val="24"/>
          <w:szCs w:val="24"/>
        </w:rPr>
        <w:t xml:space="preserve">, </w:t>
      </w:r>
      <w:r w:rsidR="00F920A7">
        <w:rPr>
          <w:sz w:val="24"/>
          <w:szCs w:val="24"/>
        </w:rPr>
        <w:t xml:space="preserve">Treatment of Providers and Strategic Plan Indicators Update.  </w:t>
      </w:r>
      <w:r w:rsidR="00BC7BA4">
        <w:rPr>
          <w:sz w:val="24"/>
          <w:szCs w:val="24"/>
        </w:rPr>
        <w:t xml:space="preserve">Of note was the </w:t>
      </w:r>
      <w:r w:rsidR="00F920A7">
        <w:rPr>
          <w:sz w:val="24"/>
          <w:szCs w:val="24"/>
        </w:rPr>
        <w:t xml:space="preserve">fact that all but two of the indicators were at or above their goals.  The two slightly lower than expected were related to Covid-19 issues like day care programs not being open and adolescents not completing their </w:t>
      </w:r>
      <w:r w:rsidR="00F920A7">
        <w:rPr>
          <w:sz w:val="24"/>
          <w:szCs w:val="24"/>
        </w:rPr>
        <w:lastRenderedPageBreak/>
        <w:t xml:space="preserve">inpatient addiction program.  </w:t>
      </w:r>
      <w:r w:rsidR="00BC7BA4">
        <w:rPr>
          <w:sz w:val="24"/>
          <w:szCs w:val="24"/>
        </w:rPr>
        <w:t xml:space="preserve">George Sewell moved </w:t>
      </w:r>
      <w:r w:rsidR="00EC7AB9" w:rsidRPr="00EC7AB9">
        <w:rPr>
          <w:sz w:val="24"/>
          <w:szCs w:val="24"/>
        </w:rPr>
        <w:t xml:space="preserve">to accept the report, seconded by </w:t>
      </w:r>
      <w:r w:rsidR="00F920A7">
        <w:rPr>
          <w:sz w:val="24"/>
          <w:szCs w:val="24"/>
        </w:rPr>
        <w:t xml:space="preserve">David Hoey, </w:t>
      </w:r>
      <w:r w:rsidR="00612A46">
        <w:rPr>
          <w:sz w:val="24"/>
          <w:szCs w:val="24"/>
        </w:rPr>
        <w:t xml:space="preserve">and </w:t>
      </w:r>
      <w:r w:rsidR="00EC7AB9" w:rsidRPr="00EC7AB9">
        <w:rPr>
          <w:sz w:val="24"/>
          <w:szCs w:val="24"/>
        </w:rPr>
        <w:t>unanimously approved without any policy changes.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A9326F" w:rsidRDefault="00F65D4E" w:rsidP="0059304A">
      <w:pPr>
        <w:ind w:left="1008" w:right="1008" w:hanging="288"/>
        <w:rPr>
          <w:sz w:val="24"/>
          <w:szCs w:val="24"/>
        </w:rPr>
      </w:pPr>
      <w:r w:rsidRPr="0059304A">
        <w:rPr>
          <w:sz w:val="24"/>
          <w:szCs w:val="24"/>
          <w:u w:val="single"/>
        </w:rPr>
        <w:t>Board Business</w:t>
      </w:r>
      <w:r w:rsidRPr="0059304A">
        <w:rPr>
          <w:sz w:val="24"/>
          <w:szCs w:val="24"/>
        </w:rPr>
        <w:t xml:space="preserve">: </w:t>
      </w:r>
      <w:r w:rsidR="00BC7BA4">
        <w:rPr>
          <w:sz w:val="24"/>
          <w:szCs w:val="24"/>
        </w:rPr>
        <w:t>Matthew Linn le</w:t>
      </w:r>
      <w:r w:rsidR="00C50819">
        <w:rPr>
          <w:sz w:val="24"/>
          <w:szCs w:val="24"/>
        </w:rPr>
        <w:t>d</w:t>
      </w:r>
      <w:r w:rsidR="00BC7BA4">
        <w:rPr>
          <w:sz w:val="24"/>
          <w:szCs w:val="24"/>
        </w:rPr>
        <w:t xml:space="preserve"> a review of</w:t>
      </w:r>
      <w:r w:rsidR="00BC7BA4" w:rsidRPr="00BC7BA4">
        <w:t xml:space="preserve"> </w:t>
      </w:r>
      <w:r w:rsidR="00BC7BA4" w:rsidRPr="00BC7BA4">
        <w:rPr>
          <w:sz w:val="24"/>
          <w:szCs w:val="24"/>
        </w:rPr>
        <w:t xml:space="preserve">the </w:t>
      </w:r>
      <w:r w:rsidR="00F920A7">
        <w:rPr>
          <w:sz w:val="24"/>
          <w:szCs w:val="24"/>
        </w:rPr>
        <w:t xml:space="preserve">Accountability to Owners </w:t>
      </w:r>
      <w:r w:rsidR="00BC7BA4">
        <w:rPr>
          <w:sz w:val="24"/>
          <w:szCs w:val="24"/>
        </w:rPr>
        <w:t xml:space="preserve">policy.  </w:t>
      </w:r>
      <w:r w:rsidR="00F920A7">
        <w:rPr>
          <w:sz w:val="24"/>
          <w:szCs w:val="24"/>
        </w:rPr>
        <w:t xml:space="preserve">David Hoey </w:t>
      </w:r>
      <w:r w:rsidR="00BC7BA4" w:rsidRPr="00BC7BA4">
        <w:rPr>
          <w:sz w:val="24"/>
          <w:szCs w:val="24"/>
        </w:rPr>
        <w:t xml:space="preserve">moved to accept the policy, seconded by </w:t>
      </w:r>
      <w:r w:rsidR="00F920A7">
        <w:rPr>
          <w:sz w:val="24"/>
          <w:szCs w:val="24"/>
        </w:rPr>
        <w:t>George Sewell</w:t>
      </w:r>
      <w:r w:rsidR="00BC7BA4" w:rsidRPr="00BC7BA4">
        <w:rPr>
          <w:sz w:val="24"/>
          <w:szCs w:val="24"/>
        </w:rPr>
        <w:t xml:space="preserve">, and unanimously approved without any policy change.  </w:t>
      </w:r>
      <w:r w:rsidR="00BC7BA4">
        <w:rPr>
          <w:sz w:val="24"/>
          <w:szCs w:val="24"/>
        </w:rPr>
        <w:t xml:space="preserve"> </w:t>
      </w:r>
      <w:r w:rsidR="00970EB6">
        <w:rPr>
          <w:sz w:val="24"/>
          <w:szCs w:val="24"/>
        </w:rPr>
        <w:t xml:space="preserve">Matthew Linn then </w:t>
      </w:r>
      <w:r w:rsidR="00F920A7">
        <w:rPr>
          <w:sz w:val="24"/>
          <w:szCs w:val="24"/>
        </w:rPr>
        <w:t>made a final request for commen</w:t>
      </w:r>
      <w:r w:rsidR="00A9326F">
        <w:rPr>
          <w:sz w:val="24"/>
          <w:szCs w:val="24"/>
        </w:rPr>
        <w:t xml:space="preserve">ts form be submitted to him </w:t>
      </w:r>
      <w:r w:rsidR="00970EB6">
        <w:rPr>
          <w:sz w:val="24"/>
          <w:szCs w:val="24"/>
        </w:rPr>
        <w:t xml:space="preserve">by email </w:t>
      </w:r>
      <w:r w:rsidR="00A9326F">
        <w:rPr>
          <w:sz w:val="24"/>
          <w:szCs w:val="24"/>
        </w:rPr>
        <w:t>for summary</w:t>
      </w:r>
      <w:r w:rsidR="00970EB6">
        <w:rPr>
          <w:sz w:val="24"/>
          <w:szCs w:val="24"/>
        </w:rPr>
        <w:t xml:space="preserve">.  </w:t>
      </w:r>
      <w:r w:rsidR="00A9326F">
        <w:rPr>
          <w:sz w:val="24"/>
          <w:szCs w:val="24"/>
        </w:rPr>
        <w:t xml:space="preserve">The board reviewed and approved </w:t>
      </w:r>
      <w:proofErr w:type="spellStart"/>
      <w:r w:rsidR="00A9326F">
        <w:rPr>
          <w:sz w:val="24"/>
          <w:szCs w:val="24"/>
        </w:rPr>
        <w:t>gthe</w:t>
      </w:r>
      <w:proofErr w:type="spellEnd"/>
      <w:r w:rsidR="00A9326F">
        <w:rPr>
          <w:sz w:val="24"/>
          <w:szCs w:val="24"/>
        </w:rPr>
        <w:t xml:space="preserve"> following Board Proclamation for Problem Gambling Awareness Month:</w:t>
      </w:r>
    </w:p>
    <w:p w:rsidR="00A9326F" w:rsidRPr="00A9326F" w:rsidRDefault="00A9326F" w:rsidP="00A9326F">
      <w:pPr>
        <w:ind w:left="1584" w:right="1008" w:hanging="288"/>
        <w:rPr>
          <w:sz w:val="24"/>
          <w:szCs w:val="24"/>
        </w:rPr>
      </w:pPr>
      <w:r w:rsidRPr="00A9326F">
        <w:rPr>
          <w:sz w:val="24"/>
          <w:szCs w:val="24"/>
        </w:rPr>
        <w:t>WHEREAS, the Louisiana Association on Compulsive Gambling provides a number of unique services to the state of Louisiana including the operation of the Louisiana Problem Gamblers Helpline 1-877-770-STOP, the management of Center for Recovery-CORE, the only state residential treatment facility for compulsive gambling, and the provision of free outpatient counseling services to compulsive and problem gamblers who are residents of Louisiana;</w:t>
      </w:r>
    </w:p>
    <w:p w:rsidR="00A9326F" w:rsidRPr="00A9326F" w:rsidRDefault="00A9326F" w:rsidP="00A9326F">
      <w:pPr>
        <w:ind w:left="1584" w:right="1008" w:hanging="288"/>
        <w:rPr>
          <w:sz w:val="24"/>
          <w:szCs w:val="24"/>
        </w:rPr>
      </w:pPr>
      <w:r w:rsidRPr="00A9326F">
        <w:rPr>
          <w:sz w:val="24"/>
          <w:szCs w:val="24"/>
        </w:rPr>
        <w:t>WHEREAS, the Governor of the State of Louisiana has proclaimed March, 2022 as Problem Gambling Awareness Month;</w:t>
      </w:r>
    </w:p>
    <w:p w:rsidR="00A9326F" w:rsidRPr="00A9326F" w:rsidRDefault="00A9326F" w:rsidP="00A9326F">
      <w:pPr>
        <w:ind w:left="1584" w:right="1008" w:hanging="288"/>
        <w:rPr>
          <w:sz w:val="24"/>
          <w:szCs w:val="24"/>
        </w:rPr>
      </w:pPr>
      <w:r w:rsidRPr="00A9326F">
        <w:rPr>
          <w:sz w:val="24"/>
          <w:szCs w:val="24"/>
        </w:rPr>
        <w:t>WHEREAS, the Northwest Louisiana Human Services District Board of Directors would like to recognize the important work done by the Louisiana Association on Compulsive Gambling and the need to raise community awareness regarding the resources available to those needing treatment for gambling addiction;</w:t>
      </w:r>
    </w:p>
    <w:p w:rsidR="00A9326F" w:rsidRDefault="00A9326F" w:rsidP="00A9326F">
      <w:pPr>
        <w:ind w:left="1584" w:right="1008" w:hanging="288"/>
        <w:rPr>
          <w:sz w:val="24"/>
          <w:szCs w:val="24"/>
        </w:rPr>
      </w:pPr>
      <w:r w:rsidRPr="00A9326F">
        <w:rPr>
          <w:sz w:val="24"/>
          <w:szCs w:val="24"/>
        </w:rPr>
        <w:t>BE IT RESOLVED, that on this 21st day of February, 2022, the Northwest Louisiana Human Services District Board of Directors hereby proclaims support for Louisiana Association on Compulsive Gambling services and the month of March being used to promote awareness of Problem Gambling.</w:t>
      </w:r>
    </w:p>
    <w:p w:rsidR="0098362C" w:rsidRPr="0059304A" w:rsidRDefault="00FF3FC5" w:rsidP="00A9326F">
      <w:pPr>
        <w:ind w:left="1008" w:right="1008"/>
        <w:rPr>
          <w:sz w:val="24"/>
          <w:szCs w:val="24"/>
        </w:rPr>
      </w:pPr>
      <w:r>
        <w:rPr>
          <w:sz w:val="24"/>
          <w:szCs w:val="24"/>
        </w:rPr>
        <w:t>The</w:t>
      </w:r>
      <w:r w:rsidR="00970EB6">
        <w:rPr>
          <w:sz w:val="24"/>
          <w:szCs w:val="24"/>
        </w:rPr>
        <w:t xml:space="preserve"> </w:t>
      </w:r>
      <w:r w:rsidR="00A9326F">
        <w:rPr>
          <w:sz w:val="24"/>
          <w:szCs w:val="24"/>
        </w:rPr>
        <w:t xml:space="preserve">January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00F65D4E" w:rsidRPr="0059304A">
        <w:rPr>
          <w:sz w:val="24"/>
          <w:szCs w:val="24"/>
        </w:rPr>
        <w:t>ing Summary Report was reviewed and accepted.  The</w:t>
      </w:r>
      <w:r w:rsidR="00014B20">
        <w:rPr>
          <w:sz w:val="24"/>
          <w:szCs w:val="24"/>
        </w:rPr>
        <w:t xml:space="preserve"> </w:t>
      </w:r>
      <w:r w:rsidR="00A9326F">
        <w:rPr>
          <w:sz w:val="24"/>
          <w:szCs w:val="24"/>
        </w:rPr>
        <w:t xml:space="preserve">February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F424C0" w:rsidRPr="0059304A">
        <w:rPr>
          <w:sz w:val="24"/>
          <w:szCs w:val="24"/>
        </w:rPr>
        <w:t>The next meeting date was</w:t>
      </w:r>
      <w:r>
        <w:rPr>
          <w:sz w:val="24"/>
          <w:szCs w:val="24"/>
        </w:rPr>
        <w:t xml:space="preserve"> </w:t>
      </w:r>
      <w:r w:rsidRPr="00FF3FC5">
        <w:rPr>
          <w:sz w:val="24"/>
          <w:szCs w:val="24"/>
        </w:rPr>
        <w:t xml:space="preserve">agreed to be on Monday, </w:t>
      </w:r>
      <w:r w:rsidR="00A9326F">
        <w:rPr>
          <w:sz w:val="24"/>
          <w:szCs w:val="24"/>
        </w:rPr>
        <w:t>March 21</w:t>
      </w:r>
      <w:r w:rsidRPr="00FF3FC5">
        <w:rPr>
          <w:sz w:val="24"/>
          <w:szCs w:val="24"/>
        </w:rPr>
        <w:t>, 202</w:t>
      </w:r>
      <w:r>
        <w:rPr>
          <w:sz w:val="24"/>
          <w:szCs w:val="24"/>
        </w:rPr>
        <w:t>2</w:t>
      </w:r>
      <w:r w:rsidRPr="00FF3FC5">
        <w:rPr>
          <w:sz w:val="24"/>
          <w:szCs w:val="24"/>
        </w:rPr>
        <w:t xml:space="preserve"> at 5:30pm</w:t>
      </w:r>
      <w:r w:rsidR="00DB5969">
        <w:rPr>
          <w:sz w:val="24"/>
          <w:szCs w:val="24"/>
        </w:rPr>
        <w:t>,</w:t>
      </w:r>
      <w:r w:rsidRPr="00FF3FC5">
        <w:rPr>
          <w:sz w:val="24"/>
          <w:szCs w:val="24"/>
        </w:rPr>
        <w:t xml:space="preserve"> in-person or by Zoom for those with Covid-19 concerns.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Pr="0059304A">
        <w:rPr>
          <w:sz w:val="24"/>
          <w:szCs w:val="24"/>
        </w:rPr>
        <w:t xml:space="preserve">: </w:t>
      </w:r>
      <w:r w:rsidR="00A9326F">
        <w:rPr>
          <w:sz w:val="24"/>
          <w:szCs w:val="24"/>
        </w:rPr>
        <w:t xml:space="preserve">David Hoey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7A4198">
        <w:rPr>
          <w:sz w:val="24"/>
          <w:szCs w:val="24"/>
        </w:rPr>
        <w:t>6</w:t>
      </w:r>
      <w:r w:rsidR="00BE0475">
        <w:rPr>
          <w:sz w:val="24"/>
          <w:szCs w:val="24"/>
        </w:rPr>
        <w:t>:</w:t>
      </w:r>
      <w:r w:rsidR="00A9326F">
        <w:rPr>
          <w:sz w:val="24"/>
          <w:szCs w:val="24"/>
        </w:rPr>
        <w:t>01</w:t>
      </w:r>
      <w:r w:rsidR="00BE0475">
        <w:rPr>
          <w:sz w:val="24"/>
          <w:szCs w:val="24"/>
        </w:rPr>
        <w:t>pm,</w:t>
      </w:r>
      <w:r w:rsidR="005873BF" w:rsidRPr="0059304A">
        <w:rPr>
          <w:sz w:val="24"/>
          <w:szCs w:val="24"/>
        </w:rPr>
        <w:t xml:space="preserve"> </w:t>
      </w:r>
      <w:r w:rsidR="00E66819" w:rsidRPr="0059304A">
        <w:rPr>
          <w:sz w:val="24"/>
          <w:szCs w:val="24"/>
        </w:rPr>
        <w:t xml:space="preserve">seconded by </w:t>
      </w:r>
      <w:r w:rsidR="007A4198">
        <w:rPr>
          <w:sz w:val="24"/>
          <w:szCs w:val="24"/>
        </w:rPr>
        <w:t>Kristi</w:t>
      </w:r>
      <w:r w:rsidR="00982EEE">
        <w:rPr>
          <w:sz w:val="24"/>
          <w:szCs w:val="24"/>
        </w:rPr>
        <w:t>e</w:t>
      </w:r>
      <w:r w:rsidR="007A4198">
        <w:rPr>
          <w:sz w:val="24"/>
          <w:szCs w:val="24"/>
        </w:rPr>
        <w:t xml:space="preserve"> Copeland</w:t>
      </w:r>
      <w:r w:rsidR="00BE0475">
        <w:rPr>
          <w:sz w:val="24"/>
          <w:szCs w:val="24"/>
        </w:rPr>
        <w:t xml:space="preserve">, </w:t>
      </w:r>
      <w:r w:rsidR="00E66819" w:rsidRPr="0059304A">
        <w:rPr>
          <w:sz w:val="24"/>
          <w:szCs w:val="24"/>
        </w:rPr>
        <w:t>and 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Pr="0059304A" w:rsidRDefault="00B55AB0"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EC7AB9">
        <w:rPr>
          <w:sz w:val="24"/>
          <w:szCs w:val="24"/>
        </w:rPr>
        <w:t>Kristi</w:t>
      </w:r>
      <w:r w:rsidR="00982EEE">
        <w:rPr>
          <w:sz w:val="24"/>
          <w:szCs w:val="24"/>
        </w:rPr>
        <w:t>e</w:t>
      </w:r>
      <w:r w:rsidR="00EC7AB9">
        <w:rPr>
          <w:sz w:val="24"/>
          <w:szCs w:val="24"/>
        </w:rPr>
        <w:t xml:space="preserve"> Copeland</w:t>
      </w:r>
      <w:r w:rsidR="0097417A">
        <w:rPr>
          <w:sz w:val="24"/>
          <w:szCs w:val="24"/>
        </w:rPr>
        <w:t xml:space="preserve">, Board </w:t>
      </w:r>
      <w:r w:rsidR="00BE0475">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60102"/>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F1BCD"/>
    <w:rsid w:val="002F3BEC"/>
    <w:rsid w:val="00301B67"/>
    <w:rsid w:val="00313956"/>
    <w:rsid w:val="0033156D"/>
    <w:rsid w:val="00332964"/>
    <w:rsid w:val="003468EF"/>
    <w:rsid w:val="00347470"/>
    <w:rsid w:val="00364225"/>
    <w:rsid w:val="00364BDE"/>
    <w:rsid w:val="00371CC0"/>
    <w:rsid w:val="00396B95"/>
    <w:rsid w:val="003C29D8"/>
    <w:rsid w:val="003C4268"/>
    <w:rsid w:val="003D284F"/>
    <w:rsid w:val="003D4EE5"/>
    <w:rsid w:val="003F4E64"/>
    <w:rsid w:val="00401758"/>
    <w:rsid w:val="004075EA"/>
    <w:rsid w:val="00407EFB"/>
    <w:rsid w:val="00412AD2"/>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506E3A"/>
    <w:rsid w:val="0053113B"/>
    <w:rsid w:val="00532041"/>
    <w:rsid w:val="00542CC5"/>
    <w:rsid w:val="00573D16"/>
    <w:rsid w:val="00574A54"/>
    <w:rsid w:val="00580C4C"/>
    <w:rsid w:val="005873BF"/>
    <w:rsid w:val="00592FBC"/>
    <w:rsid w:val="0059304A"/>
    <w:rsid w:val="0059383F"/>
    <w:rsid w:val="005963CA"/>
    <w:rsid w:val="005A5677"/>
    <w:rsid w:val="005A6021"/>
    <w:rsid w:val="005B16F3"/>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7C1F"/>
    <w:rsid w:val="00700C2B"/>
    <w:rsid w:val="00720819"/>
    <w:rsid w:val="00722EF8"/>
    <w:rsid w:val="00725EA4"/>
    <w:rsid w:val="007370CF"/>
    <w:rsid w:val="00763592"/>
    <w:rsid w:val="00791DCE"/>
    <w:rsid w:val="00791E42"/>
    <w:rsid w:val="00792250"/>
    <w:rsid w:val="00797235"/>
    <w:rsid w:val="007A076B"/>
    <w:rsid w:val="007A4198"/>
    <w:rsid w:val="007A4855"/>
    <w:rsid w:val="007B2E18"/>
    <w:rsid w:val="007C29C3"/>
    <w:rsid w:val="007C725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64AE9"/>
    <w:rsid w:val="008B117E"/>
    <w:rsid w:val="008B3D71"/>
    <w:rsid w:val="008B6F66"/>
    <w:rsid w:val="008C5680"/>
    <w:rsid w:val="008E50BB"/>
    <w:rsid w:val="008F4202"/>
    <w:rsid w:val="008F7EE6"/>
    <w:rsid w:val="009030E2"/>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9326F"/>
    <w:rsid w:val="00AB3A2F"/>
    <w:rsid w:val="00AB4814"/>
    <w:rsid w:val="00AC0F23"/>
    <w:rsid w:val="00AC4E2B"/>
    <w:rsid w:val="00AD1D6C"/>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C7BA4"/>
    <w:rsid w:val="00BD25D9"/>
    <w:rsid w:val="00BE0475"/>
    <w:rsid w:val="00C0191D"/>
    <w:rsid w:val="00C12BCF"/>
    <w:rsid w:val="00C1649C"/>
    <w:rsid w:val="00C168A4"/>
    <w:rsid w:val="00C20C44"/>
    <w:rsid w:val="00C20C86"/>
    <w:rsid w:val="00C26BE1"/>
    <w:rsid w:val="00C27860"/>
    <w:rsid w:val="00C3662A"/>
    <w:rsid w:val="00C43628"/>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7091"/>
    <w:rsid w:val="00D82502"/>
    <w:rsid w:val="00D94728"/>
    <w:rsid w:val="00DB4CC3"/>
    <w:rsid w:val="00DB5969"/>
    <w:rsid w:val="00DC29F2"/>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7477"/>
    <w:rsid w:val="00FB532F"/>
    <w:rsid w:val="00FB777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323F670"/>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2021-08-24T14:16:00Z</cp:lastPrinted>
  <dcterms:created xsi:type="dcterms:W3CDTF">2022-02-23T14:21:00Z</dcterms:created>
  <dcterms:modified xsi:type="dcterms:W3CDTF">2022-03-22T16:18:00Z</dcterms:modified>
</cp:coreProperties>
</file>